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27" w:rsidRDefault="00677A06">
      <w:pPr>
        <w:rPr>
          <w:noProof/>
          <w:sz w:val="32"/>
          <w:szCs w:val="32"/>
          <w:lang w:eastAsia="cs-CZ"/>
        </w:rPr>
      </w:pPr>
      <w:r>
        <w:rPr>
          <w:noProof/>
          <w:lang w:eastAsia="cs-CZ"/>
        </w:rPr>
        <w:t xml:space="preserve">                        </w:t>
      </w:r>
      <w:r w:rsidRPr="00677A06">
        <w:rPr>
          <w:noProof/>
          <w:lang w:eastAsia="cs-CZ"/>
        </w:rPr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6727">
        <w:rPr>
          <w:noProof/>
          <w:lang w:eastAsia="cs-CZ"/>
        </w:rPr>
        <w:tab/>
      </w:r>
      <w:r w:rsidR="00C76727">
        <w:rPr>
          <w:noProof/>
          <w:lang w:eastAsia="cs-CZ"/>
        </w:rPr>
        <w:tab/>
      </w:r>
      <w:r w:rsidR="00C76727">
        <w:rPr>
          <w:noProof/>
          <w:lang w:eastAsia="cs-CZ"/>
        </w:rPr>
        <w:tab/>
      </w:r>
      <w:r w:rsidRPr="00677A06">
        <w:rPr>
          <w:noProof/>
          <w:lang w:eastAsia="cs-CZ"/>
        </w:rPr>
        <w:drawing>
          <wp:inline distT="0" distB="0" distL="0" distR="0">
            <wp:extent cx="3829050" cy="5406338"/>
            <wp:effectExtent l="800100" t="0" r="781050" b="0"/>
            <wp:docPr id="3" name="Obrázek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29190" cy="540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727">
        <w:rPr>
          <w:sz w:val="32"/>
          <w:szCs w:val="32"/>
        </w:rPr>
        <w:t>Nejprve kruž jen prstem, poté pastelkou ve směru šipek. Nesmíš přetáhnout.</w:t>
      </w:r>
    </w:p>
    <w:p w:rsidR="00C76727" w:rsidRDefault="00C76727">
      <w:pPr>
        <w:rPr>
          <w:sz w:val="32"/>
          <w:szCs w:val="32"/>
        </w:rPr>
      </w:pPr>
      <w:r>
        <w:rPr>
          <w:sz w:val="32"/>
          <w:szCs w:val="32"/>
        </w:rPr>
        <w:t>Maluj jedním tahem.</w:t>
      </w:r>
    </w:p>
    <w:p w:rsidR="00C76727" w:rsidRDefault="00C76727">
      <w:pPr>
        <w:rPr>
          <w:sz w:val="32"/>
          <w:szCs w:val="32"/>
        </w:rPr>
      </w:pPr>
      <w:r>
        <w:rPr>
          <w:sz w:val="32"/>
          <w:szCs w:val="32"/>
        </w:rPr>
        <w:t>Barvy střídej.</w:t>
      </w:r>
    </w:p>
    <w:p w:rsidR="00C76727" w:rsidRDefault="00C76727">
      <w:pPr>
        <w:rPr>
          <w:sz w:val="32"/>
          <w:szCs w:val="32"/>
        </w:rPr>
      </w:pPr>
      <w:r>
        <w:rPr>
          <w:sz w:val="32"/>
          <w:szCs w:val="32"/>
        </w:rPr>
        <w:t>Napiš, co ti obrázek připomíná, můžeš ho dokreslit.</w:t>
      </w:r>
    </w:p>
    <w:p w:rsidR="00C76727" w:rsidRDefault="00C76727">
      <w:pPr>
        <w:rPr>
          <w:sz w:val="32"/>
          <w:szCs w:val="32"/>
        </w:rPr>
      </w:pPr>
    </w:p>
    <w:p w:rsidR="00C76727" w:rsidRDefault="00677A06">
      <w:pPr>
        <w:rPr>
          <w:sz w:val="32"/>
          <w:szCs w:val="32"/>
        </w:rPr>
      </w:pPr>
      <w:r w:rsidRPr="00677A06">
        <w:rPr>
          <w:sz w:val="32"/>
          <w:szCs w:val="32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727" w:rsidRPr="00297C81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VY_32_INOVACE_203</w:t>
      </w:r>
      <w:proofErr w:type="gramEnd"/>
    </w:p>
    <w:p w:rsidR="00C76727" w:rsidRPr="00297C81" w:rsidRDefault="00C76727" w:rsidP="00C76727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si před psaním do písanky, vyzkouší uvolňovací cviky. Nejprve krouží ve vzduchu podle interaktivní tabule (uvolnění ramene), poté samostatně na pracovním listě (uvolnění ruky). Nakonec podle své představivosti obrázek doplní.</w:t>
      </w:r>
    </w:p>
    <w:p w:rsidR="00C76727" w:rsidRPr="00297C81" w:rsidRDefault="00C76727" w:rsidP="00C76727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C76727" w:rsidRPr="00297C81" w:rsidRDefault="00C76727" w:rsidP="00C76727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C76727" w:rsidRDefault="00C76727" w:rsidP="00C76727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zlepšuje techniku psaní, je schopen napsat správný tvar</w:t>
      </w:r>
    </w:p>
    <w:p w:rsidR="00C76727" w:rsidRPr="00125C8F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C76727" w:rsidRPr="0055174A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>správný</w:t>
      </w:r>
      <w:proofErr w:type="gramEnd"/>
      <w:r>
        <w:rPr>
          <w:rFonts w:ascii="Arial" w:hAnsi="Arial" w:cs="Arial"/>
        </w:rPr>
        <w:t xml:space="preserve"> směr, jedním tahem</w:t>
      </w:r>
    </w:p>
    <w:p w:rsidR="00C76727" w:rsidRPr="0055174A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materiálu : </w:t>
      </w:r>
      <w:r>
        <w:rPr>
          <w:rFonts w:ascii="Arial" w:hAnsi="Arial" w:cs="Arial"/>
        </w:rPr>
        <w:t>prezentace,</w:t>
      </w:r>
      <w:r w:rsidR="00165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pracovní list</w:t>
      </w:r>
    </w:p>
    <w:p w:rsidR="00C76727" w:rsidRDefault="00C76727" w:rsidP="00C76727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</w:t>
      </w:r>
      <w:r>
        <w:rPr>
          <w:rFonts w:ascii="Arial" w:hAnsi="Arial" w:cs="Arial"/>
        </w:rPr>
        <w:t xml:space="preserve"> aktivní</w:t>
      </w:r>
      <w:proofErr w:type="gramEnd"/>
      <w:r>
        <w:rPr>
          <w:rFonts w:ascii="Arial" w:hAnsi="Arial" w:cs="Arial"/>
        </w:rPr>
        <w:t xml:space="preserve"> práce, smysl pro detail</w:t>
      </w:r>
    </w:p>
    <w:p w:rsidR="00C76727" w:rsidRPr="0055174A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C76727" w:rsidRPr="0055174A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C76727" w:rsidRPr="0055174A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C76727" w:rsidRPr="00482F7F" w:rsidRDefault="00C76727" w:rsidP="00C76727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E361BA">
        <w:rPr>
          <w:rFonts w:ascii="Arial" w:hAnsi="Arial" w:cs="Arial"/>
        </w:rPr>
        <w:t>191</w:t>
      </w:r>
      <w:r>
        <w:rPr>
          <w:rFonts w:ascii="Arial" w:hAnsi="Arial" w:cs="Arial"/>
        </w:rPr>
        <w:t xml:space="preserve"> kB</w:t>
      </w:r>
    </w:p>
    <w:p w:rsidR="00C76727" w:rsidRPr="00C76727" w:rsidRDefault="00C76727">
      <w:pPr>
        <w:rPr>
          <w:sz w:val="32"/>
          <w:szCs w:val="32"/>
        </w:rPr>
      </w:pPr>
    </w:p>
    <w:sectPr w:rsidR="00C76727" w:rsidRPr="00C76727" w:rsidSect="00B735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201" w:rsidRDefault="00E83201" w:rsidP="0016520E">
      <w:pPr>
        <w:spacing w:after="0" w:line="240" w:lineRule="auto"/>
      </w:pPr>
      <w:r>
        <w:separator/>
      </w:r>
    </w:p>
  </w:endnote>
  <w:endnote w:type="continuationSeparator" w:id="0">
    <w:p w:rsidR="00E83201" w:rsidRDefault="00E83201" w:rsidP="001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201" w:rsidRDefault="00E83201" w:rsidP="0016520E">
      <w:pPr>
        <w:spacing w:after="0" w:line="240" w:lineRule="auto"/>
      </w:pPr>
      <w:r>
        <w:separator/>
      </w:r>
    </w:p>
  </w:footnote>
  <w:footnote w:type="continuationSeparator" w:id="0">
    <w:p w:rsidR="00E83201" w:rsidRDefault="00E83201" w:rsidP="001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808D9563490B4A7F882696C844629B4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6520E" w:rsidRDefault="0016520E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VY_32_INOVACE_203</w:t>
        </w:r>
      </w:p>
    </w:sdtContent>
  </w:sdt>
  <w:p w:rsidR="0016520E" w:rsidRDefault="0016520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513"/>
    <w:rsid w:val="0016520E"/>
    <w:rsid w:val="002063AB"/>
    <w:rsid w:val="00231230"/>
    <w:rsid w:val="00252F87"/>
    <w:rsid w:val="004477B6"/>
    <w:rsid w:val="00677A06"/>
    <w:rsid w:val="008167BD"/>
    <w:rsid w:val="00895F98"/>
    <w:rsid w:val="008E401B"/>
    <w:rsid w:val="00B73513"/>
    <w:rsid w:val="00BE111C"/>
    <w:rsid w:val="00C76727"/>
    <w:rsid w:val="00E361BA"/>
    <w:rsid w:val="00E83201"/>
    <w:rsid w:val="00FB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5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20E"/>
  </w:style>
  <w:style w:type="paragraph" w:styleId="Zpat">
    <w:name w:val="footer"/>
    <w:basedOn w:val="Normln"/>
    <w:link w:val="ZpatChar"/>
    <w:uiPriority w:val="99"/>
    <w:semiHidden/>
    <w:unhideWhenUsed/>
    <w:rsid w:val="00165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5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8D9563490B4A7F882696C844629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A9DC37-5944-441F-9D95-E7DC01B95E10}"/>
      </w:docPartPr>
      <w:docPartBody>
        <w:p w:rsidR="008813FB" w:rsidRDefault="008C1B73" w:rsidP="008C1B73">
          <w:pPr>
            <w:pStyle w:val="808D9563490B4A7F882696C844629B4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C1B73"/>
    <w:rsid w:val="00474676"/>
    <w:rsid w:val="008813FB"/>
    <w:rsid w:val="008A7BD2"/>
    <w:rsid w:val="008C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3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08D9563490B4A7F882696C844629B48">
    <w:name w:val="808D9563490B4A7F882696C844629B48"/>
    <w:rsid w:val="008C1B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VY_32_INOVACE_203</dc:title>
  <dc:subject/>
  <dc:creator>Kantor</dc:creator>
  <cp:keywords/>
  <dc:description/>
  <cp:lastModifiedBy>ZŠ Černčice</cp:lastModifiedBy>
  <cp:revision>8</cp:revision>
  <dcterms:created xsi:type="dcterms:W3CDTF">2011-11-02T17:49:00Z</dcterms:created>
  <dcterms:modified xsi:type="dcterms:W3CDTF">2013-08-16T15:43:00Z</dcterms:modified>
</cp:coreProperties>
</file>